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214" w:rsidRDefault="002558AC">
      <w:pPr>
        <w:pStyle w:val="Heading1"/>
        <w:numPr>
          <w:ilvl w:val="0"/>
          <w:numId w:val="1"/>
        </w:numPr>
        <w:tabs>
          <w:tab w:val="left" w:pos="0"/>
        </w:tabs>
      </w:pPr>
      <w:bookmarkStart w:id="0" w:name="_gjdgxs" w:colFirst="0" w:colLast="0"/>
      <w:bookmarkEnd w:id="0"/>
      <w:r>
        <w:t>Call-Off Schedule 1 (Transparency Reports)</w:t>
      </w:r>
    </w:p>
    <w:p w:rsidR="00011214" w:rsidRDefault="002558AC">
      <w:pPr>
        <w:spacing w:after="0" w:line="240" w:lineRule="auto"/>
        <w:ind w:left="360" w:hanging="360"/>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011214" w:rsidRDefault="00011214">
      <w:pPr>
        <w:spacing w:after="0" w:line="240" w:lineRule="auto"/>
        <w:ind w:left="720" w:hanging="720"/>
        <w:rPr>
          <w:rFonts w:ascii="Arial" w:eastAsia="Arial" w:hAnsi="Arial" w:cs="Arial"/>
          <w:color w:val="000000"/>
          <w:sz w:val="24"/>
          <w:szCs w:val="24"/>
        </w:rPr>
      </w:pPr>
    </w:p>
    <w:p w:rsidR="00011214" w:rsidRDefault="002558AC">
      <w:pPr>
        <w:spacing w:after="0" w:line="240" w:lineRule="auto"/>
        <w:ind w:left="360" w:hanging="360"/>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011214" w:rsidRDefault="00011214">
      <w:pPr>
        <w:spacing w:after="0" w:line="240" w:lineRule="auto"/>
        <w:rPr>
          <w:rFonts w:ascii="Arial" w:eastAsia="Arial" w:hAnsi="Arial" w:cs="Arial"/>
          <w:color w:val="000000"/>
          <w:sz w:val="24"/>
          <w:szCs w:val="24"/>
        </w:rPr>
      </w:pPr>
    </w:p>
    <w:p w:rsidR="00011214" w:rsidRDefault="002558AC">
      <w:pPr>
        <w:spacing w:after="0" w:line="240" w:lineRule="auto"/>
        <w:ind w:left="360" w:hanging="360"/>
      </w:pPr>
      <w:bookmarkStart w:id="1" w:name="_30j0zll" w:colFirst="0" w:colLast="0"/>
      <w:bookmarkEnd w:id="1"/>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Working Days of receipt of any notice of rejection, taking account of any recommenda</w:t>
      </w:r>
      <w:r>
        <w:rPr>
          <w:rFonts w:ascii="Arial" w:eastAsia="Arial" w:hAnsi="Arial" w:cs="Arial"/>
          <w:color w:val="000000"/>
          <w:sz w:val="24"/>
          <w:szCs w:val="24"/>
        </w:rPr>
        <w:t>tions for revision and improvement to the report provided by the Buyer. If the Parties fail to agree on a draft Transparency Report the Buyer shall determine what should be included. Any other disagreement in connection with Transparency Reports shall be t</w:t>
      </w:r>
      <w:r>
        <w:rPr>
          <w:rFonts w:ascii="Arial" w:eastAsia="Arial" w:hAnsi="Arial" w:cs="Arial"/>
          <w:color w:val="000000"/>
          <w:sz w:val="24"/>
          <w:szCs w:val="24"/>
        </w:rPr>
        <w:t>reated as a Dispute.</w:t>
      </w:r>
    </w:p>
    <w:p w:rsidR="00011214" w:rsidRDefault="00011214">
      <w:pPr>
        <w:spacing w:after="0" w:line="240" w:lineRule="auto"/>
        <w:ind w:left="720" w:hanging="720"/>
        <w:rPr>
          <w:rFonts w:ascii="Arial" w:eastAsia="Arial" w:hAnsi="Arial" w:cs="Arial"/>
          <w:color w:val="000000"/>
          <w:sz w:val="24"/>
          <w:szCs w:val="24"/>
        </w:rPr>
      </w:pPr>
    </w:p>
    <w:p w:rsidR="00011214" w:rsidRDefault="002558AC">
      <w:pPr>
        <w:spacing w:after="0" w:line="240" w:lineRule="auto"/>
        <w:ind w:left="360" w:hanging="360"/>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011214" w:rsidRDefault="002558AC">
      <w:pPr>
        <w:rPr>
          <w:rFonts w:ascii="Arial" w:eastAsia="Arial" w:hAnsi="Arial" w:cs="Arial"/>
          <w:color w:val="000000"/>
          <w:sz w:val="24"/>
          <w:szCs w:val="24"/>
        </w:rPr>
      </w:pPr>
      <w:r>
        <w:br w:type="page"/>
      </w:r>
    </w:p>
    <w:p w:rsidR="00011214" w:rsidRDefault="00011214">
      <w:pPr>
        <w:spacing w:after="0" w:line="240" w:lineRule="auto"/>
        <w:rPr>
          <w:rFonts w:ascii="Arial" w:eastAsia="Arial" w:hAnsi="Arial" w:cs="Arial"/>
          <w:color w:val="000000"/>
          <w:sz w:val="24"/>
          <w:szCs w:val="24"/>
        </w:rPr>
      </w:pPr>
    </w:p>
    <w:p w:rsidR="00011214" w:rsidRDefault="00011214">
      <w:pPr>
        <w:spacing w:after="0" w:line="240" w:lineRule="auto"/>
        <w:rPr>
          <w:rFonts w:ascii="Arial" w:eastAsia="Arial" w:hAnsi="Arial" w:cs="Arial"/>
          <w:color w:val="000000"/>
          <w:sz w:val="24"/>
          <w:szCs w:val="24"/>
        </w:rPr>
      </w:pPr>
    </w:p>
    <w:p w:rsidR="00011214" w:rsidRDefault="002558AC">
      <w:pPr>
        <w:pStyle w:val="Heading1"/>
        <w:numPr>
          <w:ilvl w:val="0"/>
          <w:numId w:val="1"/>
        </w:numPr>
        <w:tabs>
          <w:tab w:val="left" w:pos="0"/>
        </w:tabs>
      </w:pPr>
      <w:bookmarkStart w:id="2" w:name="_1fob9te" w:colFirst="0" w:colLast="0"/>
      <w:bookmarkEnd w:id="2"/>
      <w:r>
        <w:t>Annex A: List of Transparency Reports</w:t>
      </w:r>
    </w:p>
    <w:tbl>
      <w:tblPr>
        <w:tblStyle w:val="a"/>
        <w:tblW w:w="89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1"/>
        <w:gridCol w:w="2302"/>
        <w:gridCol w:w="2072"/>
        <w:gridCol w:w="2247"/>
      </w:tblGrid>
      <w:tr w:rsidR="00011214" w:rsidTr="006B4FD0">
        <w:trPr>
          <w:trHeight w:val="12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b/>
                <w:color w:val="000000"/>
                <w:sz w:val="24"/>
                <w:szCs w:val="24"/>
              </w:rPr>
              <w:t>Title</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b/>
                <w:color w:val="000000"/>
                <w:sz w:val="24"/>
                <w:szCs w:val="24"/>
              </w:rPr>
              <w:t>Content</w:t>
            </w:r>
          </w:p>
        </w:tc>
        <w:tc>
          <w:tcPr>
            <w:tcW w:w="2072"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b/>
                <w:color w:val="000000"/>
                <w:sz w:val="24"/>
                <w:szCs w:val="24"/>
              </w:rPr>
              <w:t>Format</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b/>
                <w:color w:val="000000"/>
                <w:sz w:val="24"/>
                <w:szCs w:val="24"/>
              </w:rPr>
              <w:t>Freque</w:t>
            </w:r>
            <w:r>
              <w:rPr>
                <w:rFonts w:ascii="Arial" w:eastAsia="Arial" w:hAnsi="Arial" w:cs="Arial"/>
                <w:b/>
                <w:color w:val="000000"/>
                <w:sz w:val="24"/>
                <w:szCs w:val="24"/>
              </w:rPr>
              <w:t>ncy</w:t>
            </w:r>
          </w:p>
        </w:tc>
      </w:tr>
      <w:tr w:rsidR="00011214" w:rsidTr="006B4FD0">
        <w:trPr>
          <w:trHeight w:val="214"/>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rPr>
                <w:rFonts w:ascii="Arial" w:eastAsia="Arial" w:hAnsi="Arial" w:cs="Arial"/>
                <w:sz w:val="24"/>
                <w:szCs w:val="24"/>
              </w:rPr>
            </w:pPr>
            <w:r>
              <w:rPr>
                <w:rFonts w:ascii="Arial" w:eastAsia="Arial" w:hAnsi="Arial" w:cs="Arial"/>
                <w:sz w:val="24"/>
                <w:szCs w:val="24"/>
              </w:rPr>
              <w:t xml:space="preserve"> Service credits </w:t>
            </w:r>
            <w:r>
              <w:rPr>
                <w:rFonts w:ascii="Arial" w:eastAsia="Arial" w:hAnsi="Arial" w:cs="Arial"/>
                <w:sz w:val="24"/>
                <w:szCs w:val="24"/>
              </w:rPr>
              <w:tab/>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rPr>
                <w:rFonts w:ascii="Arial" w:eastAsia="Arial" w:hAnsi="Arial" w:cs="Arial"/>
                <w:sz w:val="24"/>
                <w:szCs w:val="24"/>
              </w:rPr>
            </w:pPr>
            <w:r>
              <w:rPr>
                <w:rFonts w:ascii="Arial" w:eastAsia="Arial" w:hAnsi="Arial" w:cs="Arial"/>
                <w:sz w:val="24"/>
                <w:szCs w:val="24"/>
              </w:rPr>
              <w:t>Information must show the use and frequency of service credits being issued as an incentive mechanism</w:t>
            </w:r>
          </w:p>
        </w:tc>
        <w:tc>
          <w:tcPr>
            <w:tcW w:w="2072"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011214">
            <w:pPr>
              <w:spacing w:after="0" w:line="240" w:lineRule="auto"/>
              <w:rPr>
                <w:rFonts w:ascii="Arial" w:eastAsia="Arial" w:hAnsi="Arial" w:cs="Arial"/>
                <w:sz w:val="24"/>
                <w:szCs w:val="24"/>
              </w:rPr>
            </w:pPr>
          </w:p>
          <w:p w:rsidR="00011214" w:rsidRDefault="002558AC">
            <w:pPr>
              <w:spacing w:after="0" w:line="240" w:lineRule="auto"/>
            </w:pPr>
            <w:r>
              <w:rPr>
                <w:rFonts w:ascii="Arial" w:eastAsia="Arial" w:hAnsi="Arial" w:cs="Arial"/>
                <w:sz w:val="24"/>
                <w:szCs w:val="24"/>
              </w:rPr>
              <w:t>TBC</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sz w:val="24"/>
                <w:szCs w:val="24"/>
              </w:rPr>
              <w:t xml:space="preserve"> Annually</w:t>
            </w:r>
          </w:p>
        </w:tc>
      </w:tr>
      <w:tr w:rsidR="00011214" w:rsidTr="006B4FD0">
        <w:trPr>
          <w:trHeight w:val="1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sz w:val="24"/>
                <w:szCs w:val="24"/>
              </w:rPr>
              <w:t>Key Performance Indicators (KPI’s) to the service credits that apply</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sz w:val="24"/>
                <w:szCs w:val="24"/>
              </w:rPr>
              <w:t>Information relating to the allocation of the service credits applied to the relevant KPI</w:t>
            </w:r>
          </w:p>
        </w:tc>
        <w:tc>
          <w:tcPr>
            <w:tcW w:w="2072"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rPr>
                <w:rFonts w:ascii="Arial" w:eastAsia="Arial" w:hAnsi="Arial" w:cs="Arial"/>
                <w:sz w:val="24"/>
                <w:szCs w:val="24"/>
              </w:rPr>
            </w:pPr>
            <w:r>
              <w:rPr>
                <w:rFonts w:ascii="Arial" w:eastAsia="Arial" w:hAnsi="Arial" w:cs="Arial"/>
                <w:sz w:val="24"/>
                <w:szCs w:val="24"/>
              </w:rPr>
              <w:t>TBC</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rPr>
                <w:rFonts w:ascii="Arial" w:eastAsia="Arial" w:hAnsi="Arial" w:cs="Arial"/>
                <w:sz w:val="24"/>
                <w:szCs w:val="24"/>
              </w:rPr>
            </w:pPr>
            <w:r>
              <w:rPr>
                <w:rFonts w:ascii="Arial" w:eastAsia="Arial" w:hAnsi="Arial" w:cs="Arial"/>
                <w:sz w:val="24"/>
                <w:szCs w:val="24"/>
              </w:rPr>
              <w:t>Annually</w:t>
            </w:r>
          </w:p>
          <w:p w:rsidR="00011214" w:rsidRDefault="00011214">
            <w:pPr>
              <w:spacing w:after="0" w:line="240" w:lineRule="auto"/>
            </w:pPr>
          </w:p>
        </w:tc>
      </w:tr>
      <w:tr w:rsidR="00011214" w:rsidTr="006B4FD0">
        <w:trPr>
          <w:trHeight w:val="1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sz w:val="24"/>
                <w:szCs w:val="24"/>
              </w:rPr>
              <w:t xml:space="preserve"> Resource Plans</w:t>
            </w:r>
            <w:r>
              <w:rPr>
                <w:rFonts w:ascii="Arial" w:eastAsia="Arial" w:hAnsi="Arial" w:cs="Arial"/>
                <w:color w:val="000000"/>
                <w:sz w:val="24"/>
                <w:szCs w:val="24"/>
                <w:highlight w:val="yellow"/>
              </w:rPr>
              <w:t xml:space="preserve">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pPr>
            <w:r>
              <w:rPr>
                <w:rFonts w:ascii="Arial" w:eastAsia="Arial" w:hAnsi="Arial" w:cs="Arial"/>
                <w:sz w:val="24"/>
                <w:szCs w:val="24"/>
              </w:rPr>
              <w:t xml:space="preserve">Information relating to the resource plans  the supplier is implementing in order to meet the requirement </w:t>
            </w:r>
          </w:p>
          <w:p w:rsidR="00011214" w:rsidRDefault="00011214">
            <w:pPr>
              <w:spacing w:after="0" w:line="240" w:lineRule="auto"/>
            </w:pPr>
          </w:p>
        </w:tc>
        <w:tc>
          <w:tcPr>
            <w:tcW w:w="2072"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rPr>
                <w:rFonts w:ascii="Arial" w:eastAsia="Arial" w:hAnsi="Arial" w:cs="Arial"/>
                <w:sz w:val="24"/>
                <w:szCs w:val="24"/>
              </w:rPr>
            </w:pPr>
            <w:r>
              <w:rPr>
                <w:rFonts w:ascii="Arial" w:eastAsia="Arial" w:hAnsi="Arial" w:cs="Arial"/>
                <w:sz w:val="24"/>
                <w:szCs w:val="24"/>
              </w:rPr>
              <w:t>TBC</w:t>
            </w:r>
            <w:bookmarkStart w:id="3" w:name="_GoBack"/>
            <w:bookmarkEnd w:id="3"/>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011214" w:rsidRDefault="002558AC">
            <w:pPr>
              <w:spacing w:after="0" w:line="240" w:lineRule="auto"/>
              <w:rPr>
                <w:rFonts w:ascii="Arial" w:eastAsia="Arial" w:hAnsi="Arial" w:cs="Arial"/>
                <w:sz w:val="24"/>
                <w:szCs w:val="24"/>
              </w:rPr>
            </w:pPr>
            <w:r>
              <w:rPr>
                <w:rFonts w:ascii="Arial" w:eastAsia="Arial" w:hAnsi="Arial" w:cs="Arial"/>
                <w:sz w:val="24"/>
                <w:szCs w:val="24"/>
              </w:rPr>
              <w:t>Annually</w:t>
            </w:r>
          </w:p>
          <w:p w:rsidR="00011214" w:rsidRDefault="00011214">
            <w:pPr>
              <w:spacing w:after="0" w:line="240" w:lineRule="auto"/>
            </w:pPr>
          </w:p>
        </w:tc>
      </w:tr>
    </w:tbl>
    <w:p w:rsidR="00011214" w:rsidRDefault="00011214">
      <w:pPr>
        <w:tabs>
          <w:tab w:val="left" w:pos="1251"/>
        </w:tabs>
        <w:rPr>
          <w:rFonts w:ascii="Arial" w:eastAsia="Arial" w:hAnsi="Arial" w:cs="Arial"/>
          <w:sz w:val="24"/>
          <w:szCs w:val="24"/>
        </w:rPr>
      </w:pPr>
    </w:p>
    <w:p w:rsidR="00011214" w:rsidRDefault="00011214">
      <w:pPr>
        <w:tabs>
          <w:tab w:val="left" w:pos="1251"/>
        </w:tabs>
        <w:rPr>
          <w:rFonts w:ascii="Arial" w:eastAsia="Arial" w:hAnsi="Arial" w:cs="Arial"/>
          <w:sz w:val="24"/>
          <w:szCs w:val="24"/>
        </w:rPr>
      </w:pPr>
    </w:p>
    <w:p w:rsidR="00011214" w:rsidRDefault="00011214">
      <w:pPr>
        <w:tabs>
          <w:tab w:val="left" w:pos="1251"/>
        </w:tabs>
        <w:spacing w:line="240" w:lineRule="auto"/>
      </w:pPr>
    </w:p>
    <w:sectPr w:rsidR="00011214">
      <w:headerReference w:type="default" r:id="rId8"/>
      <w:footerReference w:type="defaul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8AC" w:rsidRDefault="002558AC">
      <w:pPr>
        <w:spacing w:after="0" w:line="240" w:lineRule="auto"/>
      </w:pPr>
      <w:r>
        <w:separator/>
      </w:r>
    </w:p>
  </w:endnote>
  <w:endnote w:type="continuationSeparator" w:id="0">
    <w:p w:rsidR="002558AC" w:rsidRDefault="00255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214" w:rsidRDefault="00011214">
    <w:pPr>
      <w:tabs>
        <w:tab w:val="center" w:pos="4513"/>
        <w:tab w:val="right" w:pos="9026"/>
      </w:tabs>
      <w:spacing w:after="0" w:line="240" w:lineRule="auto"/>
      <w:rPr>
        <w:rFonts w:ascii="Arial" w:eastAsia="Arial" w:hAnsi="Arial" w:cs="Arial"/>
        <w:color w:val="A6A6A6"/>
        <w:sz w:val="20"/>
        <w:szCs w:val="20"/>
      </w:rPr>
    </w:pPr>
  </w:p>
  <w:p w:rsidR="00011214" w:rsidRDefault="002558AC">
    <w:pPr>
      <w:tabs>
        <w:tab w:val="center" w:pos="4513"/>
        <w:tab w:val="right" w:pos="9026"/>
      </w:tabs>
      <w:spacing w:after="0" w:line="240" w:lineRule="auto"/>
    </w:pPr>
    <w:r>
      <w:rPr>
        <w:rFonts w:ascii="Arial" w:eastAsia="Arial" w:hAnsi="Arial" w:cs="Arial"/>
        <w:sz w:val="20"/>
        <w:szCs w:val="20"/>
      </w:rPr>
      <w:t>Framework Ref: RM6188</w:t>
    </w:r>
    <w:r>
      <w:rPr>
        <w:rFonts w:ascii="Arial" w:eastAsia="Arial" w:hAnsi="Arial" w:cs="Arial"/>
        <w:sz w:val="20"/>
        <w:szCs w:val="20"/>
      </w:rPr>
      <w:tab/>
      <w:t xml:space="preserve">                                           </w:t>
    </w:r>
  </w:p>
  <w:p w:rsidR="00011214" w:rsidRDefault="002558AC">
    <w:pPr>
      <w:widowControl/>
      <w:tabs>
        <w:tab w:val="center" w:pos="4513"/>
        <w:tab w:val="right" w:pos="9026"/>
      </w:tabs>
      <w:spacing w:after="0" w:line="240" w:lineRule="auto"/>
    </w:pPr>
    <w:r>
      <w:rPr>
        <w:rFonts w:ascii="Arial" w:eastAsia="Arial" w:hAnsi="Arial" w:cs="Arial"/>
        <w:sz w:val="20"/>
        <w:szCs w:val="20"/>
      </w:rPr>
      <w:t>Model Version: v3.0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rsidR="006B4FD0">
      <w:fldChar w:fldCharType="separate"/>
    </w:r>
    <w:r w:rsidR="006B4FD0">
      <w:rPr>
        <w:noProof/>
      </w:rPr>
      <w:t>1</w:t>
    </w:r>
    <w:r>
      <w:fldChar w:fldCharType="end"/>
    </w:r>
  </w:p>
  <w:p w:rsidR="00011214" w:rsidRDefault="002558AC">
    <w:pPr>
      <w:spacing w:after="0" w:line="240" w:lineRule="auto"/>
    </w:pP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8AC" w:rsidRDefault="002558AC">
      <w:pPr>
        <w:spacing w:after="0" w:line="240" w:lineRule="auto"/>
      </w:pPr>
      <w:r>
        <w:separator/>
      </w:r>
    </w:p>
  </w:footnote>
  <w:footnote w:type="continuationSeparator" w:id="0">
    <w:p w:rsidR="002558AC" w:rsidRDefault="002558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214" w:rsidRDefault="002558AC">
    <w:pPr>
      <w:widowControl/>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Call-Off Schedule 1 (Transparency Reports)</w:t>
    </w:r>
  </w:p>
  <w:p w:rsidR="00011214" w:rsidRDefault="002558AC">
    <w:pPr>
      <w:widowControl/>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 xml:space="preserve">Contract Reference: </w:t>
    </w:r>
    <w:r>
      <w:rPr>
        <w:color w:val="222222"/>
        <w:highlight w:val="white"/>
      </w:rPr>
      <w:t>CCFI24A04</w:t>
    </w:r>
  </w:p>
  <w:p w:rsidR="00011214" w:rsidRDefault="002558AC">
    <w:pPr>
      <w:widowControl/>
      <w:tabs>
        <w:tab w:val="center" w:pos="4513"/>
        <w:tab w:val="right" w:pos="9026"/>
      </w:tabs>
      <w:spacing w:after="0" w:line="240" w:lineRule="auto"/>
    </w:pPr>
    <w:r>
      <w:rPr>
        <w:rFonts w:ascii="Arial" w:eastAsia="Arial" w:hAnsi="Arial" w:cs="Arial"/>
        <w:color w:val="000000"/>
      </w:rPr>
      <w:t>Crown Copyright</w:t>
    </w:r>
    <w:r>
      <w:rPr>
        <w:rFonts w:ascii="Arial" w:eastAsia="Arial" w:hAnsi="Arial" w:cs="Arial"/>
        <w:color w:val="000000"/>
        <w:sz w:val="16"/>
        <w:szCs w:val="16"/>
      </w:rPr>
      <w:t xml:space="preserve"> </w:t>
    </w:r>
    <w:r>
      <w:rPr>
        <w:rFonts w:ascii="Arial" w:eastAsia="Arial" w:hAnsi="Arial" w:cs="Arial"/>
        <w:color w:val="000000"/>
      </w:rPr>
      <w:t>20</w:t>
    </w:r>
    <w:r>
      <w:rPr>
        <w:rFonts w:ascii="Arial" w:eastAsia="Arial" w:hAnsi="Arial" w:cs="Arial"/>
      </w:rPr>
      <w:t>21</w:t>
    </w:r>
  </w:p>
  <w:p w:rsidR="00011214" w:rsidRDefault="00011214">
    <w:pPr>
      <w:widowControl/>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A40F7"/>
    <w:multiLevelType w:val="multilevel"/>
    <w:tmpl w:val="11FA12E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214"/>
    <w:rsid w:val="00011214"/>
    <w:rsid w:val="002558AC"/>
    <w:rsid w:val="006B4F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82EADC-D971-420C-B02F-BE0209A0D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widowControl/>
      <w:pBdr>
        <w:top w:val="nil"/>
        <w:left w:val="nil"/>
        <w:bottom w:val="nil"/>
        <w:right w:val="nil"/>
        <w:between w:val="nil"/>
      </w:pBdr>
      <w:tabs>
        <w:tab w:val="left" w:pos="5715"/>
      </w:tabs>
      <w:spacing w:after="240" w:line="240" w:lineRule="auto"/>
      <w:outlineLvl w:val="0"/>
    </w:pPr>
    <w:rPr>
      <w:rFonts w:ascii="Arial" w:eastAsia="Arial" w:hAnsi="Arial" w:cs="Arial"/>
      <w:b/>
      <w:color w:val="000000"/>
      <w:sz w:val="36"/>
      <w:szCs w:val="36"/>
    </w:rPr>
  </w:style>
  <w:style w:type="paragraph" w:styleId="Heading2">
    <w:name w:val="heading 2"/>
    <w:basedOn w:val="Normal"/>
    <w:next w:val="Normal"/>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1829</Characters>
  <Application>Microsoft Office Word</Application>
  <DocSecurity>0</DocSecurity>
  <Lines>15</Lines>
  <Paragraphs>4</Paragraphs>
  <ScaleCrop>false</ScaleCrop>
  <Company>Cabinet Office</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2</cp:revision>
  <dcterms:created xsi:type="dcterms:W3CDTF">2024-12-04T11:03:00Z</dcterms:created>
  <dcterms:modified xsi:type="dcterms:W3CDTF">2024-12-04T11:04:00Z</dcterms:modified>
</cp:coreProperties>
</file>